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left"/>
      </w:pPr>
      <w:r>
        <w:drawing>
          <wp:inline xmlns:a="http://schemas.openxmlformats.org/drawingml/2006/main" xmlns:pic="http://schemas.openxmlformats.org/drawingml/2006/picture">
            <wp:extent cx="1417320" cy="374283"/>
            <wp:docPr id="1" name="Picture 1" descr="Appily logo" title="Appily logo"/>
            <wp:cNvGraphicFramePr>
              <a:graphicFrameLocks noChangeAspect="1"/>
            </wp:cNvGraphicFramePr>
            <a:graphic>
              <a:graphicData uri="http://schemas.openxmlformats.org/drawingml/2006/picture">
                <pic:pic>
                  <pic:nvPicPr>
                    <pic:cNvPr id="0" name="image12.png"/>
                    <pic:cNvPicPr/>
                  </pic:nvPicPr>
                  <pic:blipFill>
                    <a:blip r:embed="rId11"/>
                    <a:stretch>
                      <a:fillRect/>
                    </a:stretch>
                  </pic:blipFill>
                  <pic:spPr>
                    <a:xfrm>
                      <a:off x="0" y="0"/>
                      <a:ext cx="1417320" cy="374283"/>
                    </a:xfrm>
                    <a:prstGeom prst="rect"/>
                  </pic:spPr>
                </pic:pic>
              </a:graphicData>
            </a:graphic>
          </wp:inline>
        </w:drawing>
      </w:r>
    </w:p>
    <w:p>
      <w:pPr>
        <w:spacing w:after="60"/>
      </w:pPr>
      <w:r>
        <w:rPr>
          <w:rFonts w:ascii="Arial" w:hAnsi="Arial"/>
          <w:b/>
          <w:color w:val="D96800"/>
          <w:sz w:val="18"/>
        </w:rPr>
        <w:t>COLLEGE EXPLORATION</w:t>
      </w:r>
    </w:p>
    <w:p>
      <w:pPr>
        <w:spacing w:before="0" w:after="100"/>
      </w:pPr>
      <w:r>
        <w:rPr>
          <w:rFonts w:ascii="Arial" w:hAnsi="Arial"/>
          <w:b/>
          <w:color w:val="031D32"/>
          <w:sz w:val="46"/>
        </w:rPr>
        <w:t>College Vibe Quiz</w:t>
      </w:r>
    </w:p>
    <w:p>
      <w:pPr>
        <w:spacing w:after="140"/>
      </w:pPr>
      <w:r>
        <w:rPr>
          <w:rFonts w:ascii="Arial" w:hAnsi="Arial"/>
          <w:color w:val="333F48"/>
          <w:sz w:val="22"/>
        </w:rPr>
        <w:t>Help students connect the college experience they want with fit factors worth investigating.</w:t>
      </w:r>
    </w:p>
    <w:tbl>
      <w:tblPr>
        <w:tblW w:type="dxa" w:w="9360"/>
        <w:jc w:val="left"/>
        <w:tblLayout w:type="fixed"/>
        <w:tblLook w:firstColumn="1" w:firstRow="1" w:lastColumn="0" w:lastRow="0" w:noHBand="0" w:noVBand="1" w:val="04A0"/>
        <w:tblInd w:w="120" w:type="dxa"/>
      </w:tblPr>
      <w:tblGrid>
        <w:gridCol w:w="1900"/>
        <w:gridCol w:w="2700"/>
        <w:gridCol w:w="4760"/>
      </w:tblGrid>
      <w:tr>
        <w:trPr>
          <w:tblHeader w:val="true"/>
        </w:trPr>
        <w:tc>
          <w:tcPr>
            <w:tcW w:type="dxa" w:w="190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TIME NEEDED</w:t>
            </w:r>
          </w:p>
        </w:tc>
        <w:tc>
          <w:tcPr>
            <w:tcW w:type="dxa" w:w="270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AUDIENCE</w:t>
            </w:r>
          </w:p>
        </w:tc>
        <w:tc>
          <w:tcPr>
            <w:tcW w:type="dxa" w:w="476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FORMAT</w:t>
            </w:r>
          </w:p>
        </w:tc>
      </w:tr>
      <w:tr>
        <w:tc>
          <w:tcPr>
            <w:tcW w:type="dxa" w:w="1900"/>
            <w:tcMar>
              <w:top w:w="100" w:type="dxa"/>
              <w:start w:w="120" w:type="dxa"/>
              <w:bottom w:w="100" w:type="dxa"/>
              <w:end w:w="120" w:type="dxa"/>
            </w:tcMar>
            <w:shd w:fill="E0F1F1"/>
            <w:vAlign w:val="center"/>
          </w:tcPr>
          <w:p>
            <w:pPr>
              <w:spacing w:before="0" w:after="0" w:line="269" w:lineRule="auto"/>
            </w:pPr>
            <w:r>
              <w:rPr>
                <w:rFonts w:ascii="Arial" w:hAnsi="Arial"/>
                <w:b w:val="0"/>
                <w:color w:val="031D32"/>
                <w:sz w:val="19"/>
              </w:rPr>
              <w:t>30 minutes</w:t>
            </w:r>
          </w:p>
        </w:tc>
        <w:tc>
          <w:tcPr>
            <w:tcW w:type="dxa" w:w="2700"/>
            <w:tcMar>
              <w:top w:w="100" w:type="dxa"/>
              <w:start w:w="120" w:type="dxa"/>
              <w:bottom w:w="100" w:type="dxa"/>
              <w:end w:w="120" w:type="dxa"/>
            </w:tcMar>
            <w:shd w:fill="E0F1F1"/>
            <w:vAlign w:val="center"/>
          </w:tcPr>
          <w:p>
            <w:pPr>
              <w:spacing w:before="0" w:after="0" w:line="269" w:lineRule="auto"/>
            </w:pPr>
            <w:r>
              <w:rPr>
                <w:rFonts w:ascii="Arial" w:hAnsi="Arial"/>
                <w:b w:val="0"/>
                <w:color w:val="031D32"/>
                <w:sz w:val="19"/>
              </w:rPr>
              <w:t>Grades 9 to 12</w:t>
            </w:r>
          </w:p>
        </w:tc>
        <w:tc>
          <w:tcPr>
            <w:tcW w:type="dxa" w:w="4760"/>
            <w:tcMar>
              <w:top w:w="100" w:type="dxa"/>
              <w:start w:w="120" w:type="dxa"/>
              <w:bottom w:w="100" w:type="dxa"/>
              <w:end w:w="120" w:type="dxa"/>
            </w:tcMar>
            <w:shd w:fill="E0F1F1"/>
            <w:vAlign w:val="center"/>
          </w:tcPr>
          <w:p>
            <w:pPr>
              <w:spacing w:before="0" w:after="0" w:line="269" w:lineRule="auto"/>
            </w:pPr>
            <w:r>
              <w:rPr>
                <w:rFonts w:ascii="Arial" w:hAnsi="Arial"/>
                <w:b w:val="0"/>
                <w:color w:val="031D32"/>
                <w:sz w:val="19"/>
              </w:rPr>
              <w:t>Individual + reflection</w:t>
            </w:r>
          </w:p>
        </w:tc>
      </w:tr>
    </w:tbl>
    <w:p>
      <w:pPr>
        <w:pStyle w:val="Heading1"/>
      </w:pPr>
      <w:r>
        <w:t>About the activity</w:t>
      </w:r>
    </w:p>
    <w:p>
      <w:r>
        <w:rPr>
          <w:rFonts w:ascii="Arial" w:hAnsi="Arial"/>
        </w:rPr>
        <w:t>The College Vibe Quiz is a low-pressure college-exploration experience. Students notice patterns in the campus environments and daily experiences they prefer, turn those preferences into concrete fit factors, and test them against one real college.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FFBDB"/>
            <w:tcBorders>
              <w:top w:val="single" w:sz="6" w:color="037680"/>
              <w:bottom w:val="single" w:sz="6" w:color="037680"/>
              <w:start w:val="single" w:sz="6" w:color="037680"/>
              <w:end w:val="single" w:sz="6" w:color="037680"/>
            </w:tcBorders>
          </w:tcPr>
          <w:p>
            <w:pPr>
              <w:spacing w:after="60"/>
            </w:pPr>
            <w:r>
              <w:rPr>
                <w:rFonts w:ascii="Arial" w:hAnsi="Arial"/>
                <w:b/>
                <w:color w:val="031D32"/>
                <w:sz w:val="22"/>
              </w:rPr>
              <w:t>Quick tip for educators</w:t>
            </w:r>
          </w:p>
          <w:p>
            <w:pPr>
              <w:spacing w:after="0"/>
            </w:pPr>
            <w:r>
              <w:rPr>
                <w:rFonts w:ascii="Arial" w:hAnsi="Arial"/>
                <w:color w:val="333F48"/>
                <w:sz w:val="20"/>
              </w:rPr>
              <w:t>Keep the activity exploratory. Encourage students to treat their result as a starting point to investigate, not a recommendation or final answer.</w:t>
            </w:r>
          </w:p>
        </w:tc>
      </w:tr>
    </w:tbl>
    <w:p>
      <w:pPr>
        <w:spacing w:after="0"/>
      </w:pPr>
    </w:p>
    <w:p>
      <w:pPr>
        <w:pStyle w:val="Heading1"/>
      </w:pPr>
      <w:r>
        <w:t>Students will</w:t>
      </w:r>
    </w:p>
    <w:p>
      <w:pPr>
        <w:numPr>
          <w:ilvl w:val="0"/>
          <w:numId w:val="10"/>
        </w:numPr>
        <w:spacing w:after="60" w:line="281" w:lineRule="auto"/>
      </w:pPr>
      <w:r>
        <w:rPr>
          <w:rFonts w:ascii="Arial" w:hAnsi="Arial"/>
        </w:rPr>
        <w:t>Identify two or three preferences related to campus environment and daily college life.</w:t>
      </w:r>
    </w:p>
    <w:p>
      <w:pPr>
        <w:numPr>
          <w:ilvl w:val="0"/>
          <w:numId w:val="10"/>
        </w:numPr>
        <w:spacing w:after="60" w:line="281" w:lineRule="auto"/>
      </w:pPr>
      <w:r>
        <w:rPr>
          <w:rFonts w:ascii="Arial" w:hAnsi="Arial"/>
        </w:rPr>
        <w:t>Use student-friendly language to describe what they may want in a college experience.</w:t>
      </w:r>
    </w:p>
    <w:p>
      <w:pPr>
        <w:numPr>
          <w:ilvl w:val="0"/>
          <w:numId w:val="10"/>
        </w:numPr>
        <w:spacing w:after="60" w:line="281" w:lineRule="auto"/>
      </w:pPr>
      <w:r>
        <w:rPr>
          <w:rFonts w:ascii="Arial" w:hAnsi="Arial"/>
        </w:rPr>
        <w:t>Investigate one real college for evidence of fit and identify what they cannot verify yet.</w:t>
      </w:r>
    </w:p>
    <w:p>
      <w:pPr>
        <w:numPr>
          <w:ilvl w:val="0"/>
          <w:numId w:val="10"/>
        </w:numPr>
        <w:spacing w:after="60" w:line="281" w:lineRule="auto"/>
      </w:pPr>
      <w:r>
        <w:rPr>
          <w:rFonts w:ascii="Arial" w:hAnsi="Arial"/>
        </w:rPr>
        <w:t>Choose one practical next step for their college search.</w:t>
      </w:r>
    </w:p>
    <w:p>
      <w:r>
        <w:br w:type="page"/>
      </w:r>
    </w:p>
    <w:p>
      <w:pPr>
        <w:pStyle w:val="Heading1"/>
      </w:pPr>
      <w:r>
        <w:t>Student activity</w:t>
      </w:r>
    </w:p>
    <w:p>
      <w:pPr>
        <w:spacing w:after="120"/>
      </w:pPr>
      <w:r>
        <w:t>Students complete the College Vibe Quiz independently, then use the My College Vibe Reality Check worksheet to turn their result into one focused research step.</w:t>
      </w:r>
    </w:p>
    <w:p>
      <w:pPr>
        <w:numPr>
          <w:ilvl w:val="0"/>
          <w:numId w:val="11"/>
        </w:numPr>
        <w:spacing w:after="80" w:line="281" w:lineRule="auto"/>
      </w:pPr>
      <w:r>
        <w:rPr>
          <w:rFonts w:ascii="Arial" w:hAnsi="Arial"/>
        </w:rPr>
        <w:t>Take the College Vibe Quiz and note the result plus two or three phrases that stand out.</w:t>
      </w:r>
    </w:p>
    <w:p>
      <w:pPr>
        <w:numPr>
          <w:ilvl w:val="0"/>
          <w:numId w:val="11"/>
        </w:numPr>
        <w:spacing w:after="80" w:line="281" w:lineRule="auto"/>
      </w:pPr>
      <w:r>
        <w:rPr>
          <w:rFonts w:ascii="Arial" w:hAnsi="Arial"/>
        </w:rPr>
        <w:t>Choose the three college-fit factors that matter most right now.</w:t>
      </w:r>
    </w:p>
    <w:p>
      <w:pPr>
        <w:numPr>
          <w:ilvl w:val="0"/>
          <w:numId w:val="11"/>
        </w:numPr>
        <w:spacing w:after="80" w:line="281" w:lineRule="auto"/>
      </w:pPr>
      <w:r>
        <w:rPr>
          <w:rFonts w:ascii="Arial" w:hAnsi="Arial"/>
        </w:rPr>
        <w:t>Investigate one college using those priorities as a lens.</w:t>
      </w:r>
    </w:p>
    <w:p>
      <w:pPr>
        <w:numPr>
          <w:ilvl w:val="0"/>
          <w:numId w:val="11"/>
        </w:numPr>
        <w:spacing w:after="80" w:line="281" w:lineRule="auto"/>
      </w:pPr>
      <w:r>
        <w:rPr>
          <w:rFonts w:ascii="Arial" w:hAnsi="Arial"/>
        </w:rPr>
        <w:t>Record one fit signal, one question that still needs an answer, and one realistic next step.</w:t>
      </w:r>
    </w:p>
    <w:p>
      <w:pPr>
        <w:pStyle w:val="Heading1"/>
      </w:pPr>
      <w:r>
        <w:t>Take the next step</w:t>
      </w:r>
    </w:p>
    <w:p>
      <w:pPr>
        <w:spacing w:after="140"/>
      </w:pPr>
      <w:r>
        <w:t>Keep the core 30-minute module focused. These three resources are the strongest companions to the College Vibe Quiz activity.</w:t>
      </w:r>
    </w:p>
    <w:p>
      <w:pPr>
        <w:spacing w:after="20"/>
      </w:pPr>
      <w:r>
        <w:rPr>
          <w:rFonts w:ascii="Arial" w:hAnsi="Arial"/>
          <w:b/>
          <w:color w:val="037680"/>
        </w:rPr>
        <w:t>CORE RESOURCE · REFLECTION | My College Vibe Reality Check</w:t>
      </w:r>
    </w:p>
    <w:p>
      <w:pPr>
        <w:spacing w:after="120"/>
        <w:ind w:left="259"/>
      </w:pPr>
      <w:r>
        <w:rPr>
          <w:rFonts w:ascii="Arial" w:hAnsi="Arial"/>
          <w:color w:val="333F48"/>
          <w:sz w:val="20"/>
        </w:rPr>
        <w:t>Use the included companion worksheet to identify three fit factors, test them against one college, and choose a next step.</w:t>
      </w:r>
    </w:p>
    <w:p>
      <w:pPr>
        <w:spacing w:after="20"/>
      </w:pPr>
      <w:hyperlink r:id="rId12">
        <w:r>
          <w:rPr>
            <w:rFonts w:ascii="Arial" w:hAnsi="Arial"/>
            <w:color w:val="037680"/>
            <w:u w:val="single"/>
            <w:b/>
          </w:rPr>
          <w:t>CORE RESOURCE · RESEARCH | Appily College List Maker</w:t>
        </w:r>
      </w:hyperlink>
    </w:p>
    <w:p>
      <w:pPr>
        <w:spacing w:after="120"/>
        <w:ind w:left="259"/>
      </w:pPr>
      <w:r>
        <w:rPr>
          <w:rFonts w:ascii="Arial" w:hAnsi="Arial"/>
          <w:color w:val="333F48"/>
          <w:sz w:val="20"/>
        </w:rPr>
        <w:t>Choose one college to investigate. Try this: What evidence supports a possible fit, and what can you not verify yet?</w:t>
      </w:r>
    </w:p>
    <w:p>
      <w:pPr>
        <w:spacing w:after="20"/>
      </w:pPr>
      <w:hyperlink r:id="rId13">
        <w:r>
          <w:rPr>
            <w:rFonts w:ascii="Arial" w:hAnsi="Arial"/>
            <w:color w:val="037680"/>
            <w:u w:val="single"/>
            <w:b/>
          </w:rPr>
          <w:t>CORE RESOURCE · PERSPECTIVE | Questions to Ask Current College Students</w:t>
        </w:r>
      </w:hyperlink>
    </w:p>
    <w:p>
      <w:pPr>
        <w:spacing w:after="120"/>
        <w:ind w:left="259"/>
      </w:pPr>
      <w:r>
        <w:rPr>
          <w:rFonts w:ascii="Arial" w:hAnsi="Arial"/>
          <w:color w:val="333F48"/>
          <w:sz w:val="20"/>
        </w:rPr>
        <w:t>Go beyond marketing materials. Try this: Choose one question that could help you understand daily campus life.</w:t>
      </w:r>
    </w:p>
    <w:p>
      <w:pPr>
        <w:pStyle w:val="Heading1"/>
      </w:pPr>
      <w:r>
        <w:t>Explore more</w:t>
      </w:r>
    </w:p>
    <w:p>
      <w:pPr>
        <w:spacing w:after="100"/>
      </w:pPr>
      <w:r>
        <w:t>College Vibe results are a starting point. Students can use these resources when they want to go further.</w:t>
      </w:r>
    </w:p>
    <w:p>
      <w:pPr>
        <w:spacing w:after="20"/>
      </w:pPr>
      <w:hyperlink r:id="rId14">
        <w:r>
          <w:rPr>
            <w:rFonts w:ascii="Arial" w:hAnsi="Arial"/>
            <w:color w:val="037680"/>
            <w:u w:val="single"/>
            <w:b/>
          </w:rPr>
          <w:t>Appily Virtual College Tours</w:t>
        </w:r>
      </w:hyperlink>
    </w:p>
    <w:p>
      <w:pPr>
        <w:spacing w:after="120"/>
        <w:ind w:left="259"/>
      </w:pPr>
      <w:r>
        <w:rPr>
          <w:rFonts w:ascii="Arial" w:hAnsi="Arial"/>
          <w:color w:val="333F48"/>
          <w:sz w:val="20"/>
        </w:rPr>
        <w:t>Explore a campus more closely when an in-person visit is not possible or practical.</w:t>
      </w:r>
    </w:p>
    <w:p>
      <w:pPr>
        <w:spacing w:after="20"/>
      </w:pPr>
      <w:hyperlink r:id="rId15">
        <w:r>
          <w:rPr>
            <w:rFonts w:ascii="Arial" w:hAnsi="Arial"/>
            <w:color w:val="037680"/>
            <w:u w:val="single"/>
            <w:b/>
          </w:rPr>
          <w:t>100 Questions to Ask on a College Visit</w:t>
        </w:r>
      </w:hyperlink>
    </w:p>
    <w:p>
      <w:pPr>
        <w:spacing w:after="120"/>
        <w:ind w:left="259"/>
      </w:pPr>
      <w:r>
        <w:rPr>
          <w:rFonts w:ascii="Arial" w:hAnsi="Arial"/>
          <w:color w:val="333F48"/>
          <w:sz w:val="20"/>
        </w:rPr>
        <w:t>Turn one fit priority into a question for the person best equipped to answer it, such as admissions staff, financial aid staff, or a current student.</w:t>
      </w:r>
    </w:p>
    <w:p>
      <w:r>
        <w:br w:type="page"/>
      </w:r>
    </w:p>
    <w:p>
      <w:pPr>
        <w:pStyle w:val="Heading1"/>
      </w:pPr>
      <w:r>
        <w:t>Educator guide highlights</w:t>
      </w:r>
    </w:p>
    <w:p>
      <w:pPr>
        <w:spacing w:after="140"/>
      </w:pPr>
      <w:r>
        <w:t>A simple 30-minute flow that keeps the quiz at the center and uses follow-up resources based on student needs.</w:t>
      </w:r>
    </w:p>
    <w:tbl>
      <w:tblPr>
        <w:tblW w:type="dxa" w:w="9360"/>
        <w:tblLayout w:type="fixed"/>
        <w:tblLook w:firstColumn="1" w:firstRow="1" w:lastColumn="0" w:lastRow="0" w:noHBand="0" w:noVBand="1" w:val="04A0"/>
        <w:jc w:val="left"/>
        <w:tblInd w:w="120" w:type="dxa"/>
      </w:tblPr>
      <w:tblGrid>
        <w:gridCol w:w="1200"/>
        <w:gridCol w:w="1700"/>
        <w:gridCol w:w="3230"/>
        <w:gridCol w:w="3230"/>
      </w:tblGrid>
      <w:tr>
        <w:trPr>
          <w:tblHeader w:val="true"/>
        </w:trPr>
        <w:tc>
          <w:tcPr>
            <w:tcW w:type="dxa" w:w="120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Time</w:t>
            </w:r>
          </w:p>
        </w:tc>
        <w:tc>
          <w:tcPr>
            <w:tcW w:type="dxa" w:w="170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Step</w:t>
            </w:r>
          </w:p>
        </w:tc>
        <w:tc>
          <w:tcPr>
            <w:tcW w:type="dxa" w:w="323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Student action</w:t>
            </w:r>
          </w:p>
        </w:tc>
        <w:tc>
          <w:tcPr>
            <w:tcW w:type="dxa" w:w="3230"/>
            <w:tcMar>
              <w:top w:w="100" w:type="dxa"/>
              <w:start w:w="120" w:type="dxa"/>
              <w:bottom w:w="100" w:type="dxa"/>
              <w:end w:w="120" w:type="dxa"/>
            </w:tcMar>
            <w:shd w:fill="031D32"/>
            <w:vAlign w:val="center"/>
          </w:tcPr>
          <w:p>
            <w:pPr>
              <w:spacing w:before="0" w:after="0" w:line="269" w:lineRule="auto"/>
            </w:pPr>
            <w:r>
              <w:rPr>
                <w:rFonts w:ascii="Arial" w:hAnsi="Arial"/>
                <w:b/>
                <w:color w:val="FFFFFF"/>
                <w:sz w:val="17"/>
              </w:rPr>
              <w:t>Educator move</w:t>
            </w:r>
          </w:p>
        </w:tc>
      </w:tr>
      <w:tr>
        <w:tc>
          <w:tcPr>
            <w:tcW w:type="dxa" w:w="120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3 min</w:t>
            </w:r>
          </w:p>
        </w:tc>
        <w:tc>
          <w:tcPr>
            <w:tcW w:type="dxa" w:w="170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Introduce</w:t>
            </w:r>
          </w:p>
        </w:tc>
        <w:tc>
          <w:tcPr>
            <w:tcW w:type="dxa" w:w="323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Hear the purpose and open the worksheet.</w:t>
            </w:r>
          </w:p>
        </w:tc>
        <w:tc>
          <w:tcPr>
            <w:tcW w:type="dxa" w:w="323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Frame the result as a starting point. There is no perfect college and no correct quiz result.</w:t>
            </w:r>
          </w:p>
        </w:tc>
      </w:tr>
      <w:tr>
        <w:tc>
          <w:tcPr>
            <w:tcW w:type="dxa" w:w="120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7–8 min</w:t>
            </w:r>
          </w:p>
        </w:tc>
        <w:tc>
          <w:tcPr>
            <w:tcW w:type="dxa" w:w="170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Complete</w:t>
            </w:r>
          </w:p>
        </w:tc>
        <w:tc>
          <w:tcPr>
            <w:tcW w:type="dxa" w:w="323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Take the quiz and note the result plus phrases that stand out.</w:t>
            </w:r>
          </w:p>
        </w:tc>
        <w:tc>
          <w:tcPr>
            <w:tcW w:type="dxa" w:w="323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Ask what feels useful, what feels less accurate, and what the result leaves out.</w:t>
            </w:r>
          </w:p>
        </w:tc>
      </w:tr>
      <w:tr>
        <w:tc>
          <w:tcPr>
            <w:tcW w:type="dxa" w:w="120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12–14 min</w:t>
            </w:r>
          </w:p>
        </w:tc>
        <w:tc>
          <w:tcPr>
            <w:tcW w:type="dxa" w:w="170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Reflect</w:t>
            </w:r>
          </w:p>
        </w:tc>
        <w:tc>
          <w:tcPr>
            <w:tcW w:type="dxa" w:w="323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Name three priorities and investigate one college for a fit signal and an unanswered question.</w:t>
            </w:r>
          </w:p>
        </w:tc>
        <w:tc>
          <w:tcPr>
            <w:tcW w:type="dxa" w:w="3230"/>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Prompt for evidence. What did the student actually find, and what still needs to be verified?</w:t>
            </w:r>
          </w:p>
        </w:tc>
      </w:tr>
      <w:tr>
        <w:tc>
          <w:tcPr>
            <w:tcW w:type="dxa" w:w="120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5 min</w:t>
            </w:r>
          </w:p>
        </w:tc>
        <w:tc>
          <w:tcPr>
            <w:tcW w:type="dxa" w:w="170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Extend</w:t>
            </w:r>
          </w:p>
        </w:tc>
        <w:tc>
          <w:tcPr>
            <w:tcW w:type="dxa" w:w="323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Choose one realistic next step.</w:t>
            </w:r>
          </w:p>
        </w:tc>
        <w:tc>
          <w:tcPr>
            <w:tcW w:type="dxa" w:w="3230"/>
            <w:shd w:fill="F7F7F9"/>
            <w:vAlign w:val="center"/>
            <w:tcBorders>
              <w:top w:val="single" w:sz="4" w:color="D9DEE2"/>
              <w:bottom w:val="single" w:sz="4" w:color="D9DEE2"/>
              <w:start w:val="single" w:sz="4" w:color="D9DEE2"/>
              <w:end w:val="single" w:sz="4" w:color="D9DEE2"/>
            </w:tcBorders>
            <w:tcMar>
              <w:top w:w="100" w:type="dxa"/>
              <w:start w:w="120" w:type="dxa"/>
              <w:bottom w:w="100" w:type="dxa"/>
              <w:end w:w="120" w:type="dxa"/>
            </w:tcMar>
          </w:tcPr>
          <w:p>
            <w:pPr>
              <w:spacing w:before="0" w:after="0" w:line="269" w:lineRule="auto"/>
            </w:pPr>
            <w:r>
              <w:rPr>
                <w:rFonts w:ascii="Arial" w:hAnsi="Arial"/>
                <w:b w:val="0"/>
                <w:color w:val="333F48"/>
                <w:sz w:val="17"/>
              </w:rPr>
              <w:t>Use the current-student questions, a virtual tour, or the List Maker based on the student's need.</w:t>
            </w:r>
          </w:p>
        </w:tc>
      </w:tr>
    </w:tbl>
    <w:p>
      <w:pPr>
        <w:pStyle w:val="Heading1"/>
      </w:pPr>
      <w:r>
        <w:t>Lesson at a glance</w:t>
      </w:r>
    </w:p>
    <w:p>
      <w:r>
        <w:rPr>
          <w:rFonts w:ascii="Arial" w:hAnsi="Arial"/>
          <w:b/>
          <w:color w:val="031D32"/>
        </w:rPr>
        <w:t xml:space="preserve">Grade level: </w:t>
      </w:r>
      <w:r>
        <w:rPr>
          <w:rFonts w:ascii="Arial" w:hAnsi="Arial"/>
          <w:color w:val="333F48"/>
        </w:rPr>
        <w:t>9–12</w:t>
      </w:r>
    </w:p>
    <w:p>
      <w:r>
        <w:rPr>
          <w:rFonts w:ascii="Arial" w:hAnsi="Arial"/>
          <w:b/>
          <w:color w:val="031D32"/>
        </w:rPr>
        <w:t xml:space="preserve">Time: </w:t>
      </w:r>
      <w:r>
        <w:rPr>
          <w:rFonts w:ascii="Arial" w:hAnsi="Arial"/>
          <w:color w:val="333F48"/>
        </w:rPr>
        <w:t>30 minutes</w:t>
      </w:r>
    </w:p>
    <w:p>
      <w:r>
        <w:rPr>
          <w:rFonts w:ascii="Arial" w:hAnsi="Arial"/>
          <w:b/>
          <w:color w:val="031D32"/>
        </w:rPr>
        <w:t xml:space="preserve">Best for: </w:t>
      </w:r>
      <w:r>
        <w:rPr>
          <w:rFonts w:ascii="Arial" w:hAnsi="Arial"/>
          <w:color w:val="333F48"/>
        </w:rPr>
        <w:t>College exploration, advisory, counseling, and college-readiness courses</w:t>
      </w:r>
    </w:p>
    <w:p>
      <w:r>
        <w:rPr>
          <w:rFonts w:ascii="Arial" w:hAnsi="Arial"/>
          <w:b/>
          <w:color w:val="031D32"/>
        </w:rPr>
        <w:t xml:space="preserve">Materials: </w:t>
      </w:r>
      <w:r>
        <w:rPr>
          <w:rFonts w:ascii="Arial" w:hAnsi="Arial"/>
          <w:color w:val="333F48"/>
        </w:rPr>
        <w:t>Device with internet access and My College Vibe Reality Check worksheet</w:t>
      </w:r>
    </w:p>
    <w:p>
      <w:r>
        <w:rPr>
          <w:rFonts w:ascii="Arial" w:hAnsi="Arial"/>
          <w:b/>
          <w:color w:val="031D32"/>
        </w:rPr>
        <w:t xml:space="preserve">Prep time: </w:t>
      </w:r>
      <w:r>
        <w:rPr>
          <w:rFonts w:ascii="Arial" w:hAnsi="Arial"/>
          <w:color w:val="333F48"/>
        </w:rPr>
        <w:t>About 5 minutes</w:t>
      </w:r>
    </w:p>
    <w:p>
      <w:pPr>
        <w:pStyle w:val="Heading1"/>
      </w:pPr>
      <w:r>
        <w:t>Facilitation notes</w:t>
      </w:r>
    </w:p>
    <w:p>
      <w:pPr>
        <w:numPr>
          <w:ilvl w:val="0"/>
          <w:numId w:val="10"/>
        </w:numPr>
        <w:spacing w:after="60" w:line="281" w:lineRule="auto"/>
      </w:pPr>
      <w:r>
        <w:rPr>
          <w:rFonts w:ascii="Arial" w:hAnsi="Arial"/>
        </w:rPr>
        <w:t>Allow students to keep results, needs, and personal circumstances private.</w:t>
      </w:r>
    </w:p>
    <w:p>
      <w:pPr>
        <w:numPr>
          <w:ilvl w:val="0"/>
          <w:numId w:val="10"/>
        </w:numPr>
        <w:spacing w:after="60" w:line="281" w:lineRule="auto"/>
      </w:pPr>
      <w:r>
        <w:rPr>
          <w:rFonts w:ascii="Arial" w:hAnsi="Arial"/>
        </w:rPr>
        <w:t>Offer individual writing, partner discussion, or whole-group discussion options.</w:t>
      </w:r>
    </w:p>
    <w:p>
      <w:pPr>
        <w:numPr>
          <w:ilvl w:val="0"/>
          <w:numId w:val="10"/>
        </w:numPr>
        <w:spacing w:after="60" w:line="281" w:lineRule="auto"/>
      </w:pPr>
      <w:r>
        <w:rPr>
          <w:rFonts w:ascii="Arial" w:hAnsi="Arial"/>
        </w:rPr>
        <w:t>Avoid ranking vibe types or treating one campus setting as more desirable than another.</w:t>
      </w:r>
    </w:p>
    <w:p>
      <w:pPr>
        <w:numPr>
          <w:ilvl w:val="0"/>
          <w:numId w:val="10"/>
        </w:numPr>
        <w:spacing w:after="60" w:line="281" w:lineRule="auto"/>
      </w:pPr>
      <w:r>
        <w:rPr>
          <w:rFonts w:ascii="Arial" w:hAnsi="Arial"/>
        </w:rPr>
        <w:t>Acknowledge that accessibility, affordability, housing, transportation, family responsibilities, work, safety, faith, identity-based community, and other supports can shape fit.</w:t>
      </w:r>
    </w:p>
    <w:p>
      <w:pPr>
        <w:numPr>
          <w:ilvl w:val="0"/>
          <w:numId w:val="10"/>
        </w:numPr>
        <w:spacing w:after="60" w:line="281" w:lineRule="auto"/>
      </w:pPr>
      <w:r>
        <w:rPr>
          <w:rFonts w:ascii="Arial" w:hAnsi="Arial"/>
        </w:rPr>
        <w:t>If a student cannot access the quiz, begin with the worksheet's college-fit priorities section.</w:t>
      </w:r>
    </w:p>
    <w:p>
      <w:r>
        <w:br w:type="page"/>
      </w:r>
    </w:p>
    <w:p>
      <w:pPr>
        <w:pStyle w:val="Heading1"/>
      </w:pPr>
      <w:r>
        <w:t>Assign the student activity</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0F1F1"/>
            <w:tcBorders>
              <w:top w:val="single" w:sz="6" w:color="037680"/>
              <w:bottom w:val="single" w:sz="6" w:color="037680"/>
              <w:start w:val="single" w:sz="6" w:color="037680"/>
              <w:end w:val="single" w:sz="6" w:color="037680"/>
            </w:tcBorders>
          </w:tcPr>
          <w:p>
            <w:pPr>
              <w:spacing w:after="60"/>
            </w:pPr>
            <w:r>
              <w:rPr>
                <w:rFonts w:ascii="Arial" w:hAnsi="Arial"/>
                <w:b/>
                <w:color w:val="031D32"/>
                <w:sz w:val="22"/>
              </w:rPr>
              <w:t>Assignment title</w:t>
            </w:r>
          </w:p>
          <w:p>
            <w:pPr>
              <w:spacing w:after="0"/>
            </w:pPr>
            <w:r>
              <w:rPr>
                <w:rFonts w:ascii="Arial" w:hAnsi="Arial"/>
                <w:color w:val="333F48"/>
                <w:sz w:val="20"/>
              </w:rPr>
              <w:t>College Vibe Quiz: From Result to Reality Check</w:t>
            </w:r>
          </w:p>
        </w:tc>
      </w:tr>
    </w:tbl>
    <w:p>
      <w:pPr>
        <w:spacing w:after="0"/>
      </w:pPr>
    </w:p>
    <w:p>
      <w:pPr>
        <w:spacing w:after="80"/>
      </w:pPr>
      <w:r>
        <w:rPr>
          <w:rFonts w:ascii="Arial" w:hAnsi="Arial"/>
          <w:b/>
          <w:color w:val="031D32"/>
        </w:rPr>
        <w:t>Directions for students</w:t>
      </w:r>
    </w:p>
    <w:p>
      <w:pPr>
        <w:spacing w:after="160"/>
      </w:pPr>
      <w:r>
        <w:t>Take Appily's College Vibe Quiz to explore the campus environment and daily college experience you may prefer. Then complete the My College Vibe Reality Check worksheet. Identify three fit factors, investigate one college, and write one question plus one next step. Your result is a starting point, not a recommendation or final answer.</w:t>
      </w:r>
    </w:p>
    <w:p>
      <w:pPr>
        <w:spacing w:after="60"/>
      </w:pPr>
      <w:r>
        <w:rPr>
          <w:rFonts w:ascii="Arial" w:hAnsi="Arial"/>
          <w:b/>
          <w:color w:val="031D32"/>
        </w:rPr>
        <w:t>Links</w:t>
      </w:r>
    </w:p>
    <w:p>
      <w:pPr>
        <w:ind w:left="288"/>
      </w:pPr>
      <w:hyperlink r:id="rId16">
        <w:r>
          <w:rPr>
            <w:rFonts w:ascii="Arial" w:hAnsi="Arial"/>
            <w:color w:val="037680"/>
            <w:u w:val="single"/>
            <w:b/>
          </w:rPr>
          <w:t>Take the College Vibe Quiz</w:t>
        </w:r>
      </w:hyperlink>
    </w:p>
    <w:p>
      <w:pPr>
        <w:ind w:left="288"/>
      </w:pPr>
      <w:hyperlink r:id="rId14">
        <w:r>
          <w:rPr>
            <w:rFonts w:ascii="Arial" w:hAnsi="Arial"/>
            <w:color w:val="037680"/>
            <w:u w:val="single"/>
            <w:b/>
          </w:rPr>
          <w:t>Explore Appily Virtual College Tours</w:t>
        </w:r>
      </w:hyperlink>
    </w:p>
    <w:p>
      <w:pPr>
        <w:spacing w:before="120"/>
      </w:pPr>
      <w:r>
        <w:rPr>
          <w:rFonts w:ascii="Arial" w:hAnsi="Arial"/>
          <w:b/>
          <w:color w:val="031D32"/>
        </w:rPr>
        <w:t xml:space="preserve">What to submit: </w:t>
      </w:r>
      <w:r>
        <w:rPr>
          <w:rFonts w:ascii="Arial" w:hAnsi="Arial"/>
          <w:color w:val="333F48"/>
        </w:rPr>
        <w:t>Your completed My College Vibe Reality Check worksheet.</w:t>
      </w:r>
    </w:p>
    <w:p>
      <w:r>
        <w:rPr>
          <w:rFonts w:ascii="Arial" w:hAnsi="Arial"/>
          <w:b/>
          <w:color w:val="031D32"/>
        </w:rPr>
        <w:t xml:space="preserve">Estimated time: </w:t>
      </w:r>
      <w:r>
        <w:rPr>
          <w:rFonts w:ascii="Arial" w:hAnsi="Arial"/>
          <w:color w:val="333F48"/>
        </w:rPr>
        <w:t>25 to 30 minutes.</w:t>
      </w:r>
    </w:p>
    <w:p>
      <w:pPr>
        <w:pStyle w:val="Heading1"/>
      </w:pPr>
      <w:r>
        <w:t>Reflection questions</w:t>
      </w:r>
    </w:p>
    <w:p>
      <w:pPr>
        <w:numPr>
          <w:ilvl w:val="0"/>
          <w:numId w:val="12"/>
        </w:numPr>
        <w:spacing w:after="80" w:line="281" w:lineRule="auto"/>
      </w:pPr>
      <w:r>
        <w:rPr>
          <w:rFonts w:ascii="Arial" w:hAnsi="Arial"/>
        </w:rPr>
        <w:t>Which part of your College Vibe result feels most useful for your college search?</w:t>
      </w:r>
    </w:p>
    <w:p>
      <w:pPr>
        <w:numPr>
          <w:ilvl w:val="0"/>
          <w:numId w:val="12"/>
        </w:numPr>
        <w:spacing w:after="80" w:line="281" w:lineRule="auto"/>
      </w:pPr>
      <w:r>
        <w:rPr>
          <w:rFonts w:ascii="Arial" w:hAnsi="Arial"/>
        </w:rPr>
        <w:t>What are your top three college-fit factors right now?</w:t>
      </w:r>
    </w:p>
    <w:p>
      <w:pPr>
        <w:numPr>
          <w:ilvl w:val="0"/>
          <w:numId w:val="12"/>
        </w:numPr>
        <w:spacing w:after="80" w:line="281" w:lineRule="auto"/>
      </w:pPr>
      <w:r>
        <w:rPr>
          <w:rFonts w:ascii="Arial" w:hAnsi="Arial"/>
        </w:rPr>
        <w:t>What did you find about one college that supports a possible fit, and what do you still need to ask or verify?</w:t>
      </w:r>
    </w:p>
    <w:p>
      <w:pPr>
        <w:pStyle w:val="Heading1"/>
      </w:pPr>
      <w:r>
        <w:t>Optional group discussion</w:t>
      </w:r>
    </w:p>
    <w:p>
      <w:pPr>
        <w:numPr>
          <w:ilvl w:val="0"/>
          <w:numId w:val="10"/>
        </w:numPr>
        <w:spacing w:after="60" w:line="281" w:lineRule="auto"/>
      </w:pPr>
      <w:r>
        <w:rPr>
          <w:rFonts w:ascii="Arial" w:hAnsi="Arial"/>
        </w:rPr>
        <w:t>Can two students with the same Vibe result still prefer very different colleges? Why?</w:t>
      </w:r>
    </w:p>
    <w:p>
      <w:pPr>
        <w:numPr>
          <w:ilvl w:val="0"/>
          <w:numId w:val="10"/>
        </w:numPr>
        <w:spacing w:after="60" w:line="281" w:lineRule="auto"/>
      </w:pPr>
      <w:r>
        <w:rPr>
          <w:rFonts w:ascii="Arial" w:hAnsi="Arial"/>
        </w:rPr>
        <w:t>What can a quiz or college website tell you about fit? What can it not tell you?</w:t>
      </w:r>
    </w:p>
    <w:p>
      <w:pPr>
        <w:pStyle w:val="Heading1"/>
      </w:pPr>
      <w:r>
        <w:t>Suggested introduction</w:t>
      </w:r>
    </w:p>
    <w:p>
      <w:r>
        <w:rPr>
          <w:rFonts w:ascii="Arial" w:hAnsi="Arial"/>
        </w:rPr>
        <w:t>You might say: "Today, you will explore what you may want daily college life to feel like. Your result can help you notice preferences and discover possibilities, but it does not decide where you should apply or enroll."</w:t>
      </w:r>
    </w:p>
    <w:p>
      <w:pPr>
        <w:pStyle w:val="Heading1"/>
      </w:pPr>
      <w:r>
        <w:t>Closing prompt</w:t>
      </w:r>
    </w:p>
    <w:p>
      <w:r>
        <w:rPr>
          <w:rFonts w:ascii="Arial" w:hAnsi="Arial"/>
        </w:rPr>
        <w:t>Reinforce that students do not need to identify one perfect college. The goal is to ask better questions, explore more possibilities, and build a list that reflects their goals, circumstances, and priorities.</w:t>
      </w:r>
    </w:p>
    <w:sectPr w:rsidR="00FC693F" w:rsidRPr="0006063C" w:rsidSect="00034616">
      <w:headerReference w:type="default" r:id="rId9"/>
      <w:footerReference w:type="default" r:id="rId10"/>
      <w:pgSz w:w="12240" w:h="15840"/>
      <w:pgMar w:top="893" w:right="1123" w:bottom="893" w:left="1123" w:header="403"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rFonts w:ascii="Arial" w:hAnsi="Arial"/>
        <w:color w:val="333F48"/>
        <w:sz w:val="16"/>
      </w:rPr>
      <w:t>Free college-planning resources from Appily | appily.com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right"/>
      <w:pBdr>
        <w:bottom w:val="single" w:sz="8" w:space="2" w:color="00B1B0"/>
      </w:pBdr>
    </w:pPr>
    <w:r>
      <w:rPr>
        <w:rFonts w:ascii="Arial" w:hAnsi="Arial"/>
        <w:b/>
        <w:color w:val="333F48"/>
        <w:sz w:val="17"/>
      </w:rPr>
      <w:t>COLLEGE VIBE QUIZ | TEACHER AND COUNSELOR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pPr>
    </w:lvl>
  </w:abstractNum>
  <w:num w:numId="10">
    <w:abstractNumId w:val="9"/>
  </w:num>
  <w:abstractNum w:abstractNumId="10">
    <w:multiLevelType w:val="singleLevel"/>
    <w:lvl w:ilvl="0">
      <w:start w:val="1"/>
      <w:numFmt w:val="decimal"/>
      <w:lvlText w:val="%1."/>
      <w:suff w:val="tab"/>
      <w:pPr>
        <w:tabs>
          <w:tab w:val="num" w:pos="600"/>
        </w:tabs>
        <w:ind w:left="600" w:hanging="320"/>
      </w:pPr>
    </w:lvl>
  </w:abstractNum>
  <w:num w:numId="11">
    <w:abstractNumId w:val="10"/>
  </w:num>
  <w:abstractNum w:abstractNumId="11">
    <w:multiLevelType w:val="singleLevel"/>
    <w:lvl w:ilvl="0">
      <w:start w:val="1"/>
      <w:numFmt w:val="decimal"/>
      <w:lvlText w:val="%1."/>
      <w:suff w:val="tab"/>
      <w:pPr>
        <w:tabs>
          <w:tab w:val="num" w:pos="600"/>
        </w:tabs>
        <w:ind w:left="600" w:hanging="320"/>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81" w:lineRule="auto"/>
    </w:pPr>
    <w:rPr>
      <w:rFonts w:ascii="Arial" w:hAnsi="Arial"/>
      <w:color w:val="333F4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031D32"/>
      <w:sz w:val="33"/>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037680"/>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333F4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appily.com/tools-quizzes/college-list-maker?utm_source=google_classroom&amp;utm_medium=referral&amp;utm_campaign=college_vibe_quiz_module&amp;utm_content=college_list_maker" TargetMode="External"/><Relationship Id="rId13" Type="http://schemas.openxmlformats.org/officeDocument/2006/relationships/hyperlink" Target="https://www.appily.com/guidance/articles/finding-your-college/questions-for-current-college-students?utm_source=google_classroom&amp;utm_medium=referral&amp;utm_campaign=college_vibe_quiz_module&amp;utm_content=current_student_questions" TargetMode="External"/><Relationship Id="rId14" Type="http://schemas.openxmlformats.org/officeDocument/2006/relationships/hyperlink" Target="https://www.appily.com/virtual-college-tours?utm_source=google_classroom&amp;utm_medium=referral&amp;utm_campaign=college_vibe_quiz_module&amp;utm_content=virtual_tours" TargetMode="External"/><Relationship Id="rId15" Type="http://schemas.openxmlformats.org/officeDocument/2006/relationships/hyperlink" Target="https://www.appily.com/guidance/articles/finding-your-college/100-questions-to-ask-on-a-college-visit?utm_source=google_classroom&amp;utm_medium=referral&amp;utm_campaign=college_vibe_quiz_module&amp;utm_content=college_visit_questions" TargetMode="External"/><Relationship Id="rId16" Type="http://schemas.openxmlformats.org/officeDocument/2006/relationships/hyperlink" Target="https://www.appily.com/tools-quizzes/college-vibe-quiz?utm_source=google_classroom&amp;utm_medium=referral&amp;utm_campaign=college_vibe_quiz_module&amp;utm_content=qu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